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8E" w:rsidRPr="0051128E" w:rsidRDefault="0051128E" w:rsidP="0051128E">
      <w:pPr>
        <w:shd w:val="clear" w:color="auto" w:fill="FFFFFF"/>
        <w:spacing w:line="240" w:lineRule="auto"/>
        <w:jc w:val="center"/>
        <w:textAlignment w:val="top"/>
        <w:outlineLvl w:val="0"/>
        <w:rPr>
          <w:rFonts w:ascii="Times New Roman" w:eastAsia="Times New Roman" w:hAnsi="Times New Roman" w:cs="Times New Roman"/>
          <w:b/>
          <w:kern w:val="36"/>
          <w:sz w:val="28"/>
          <w:szCs w:val="28"/>
          <w:lang w:eastAsia="ru-RU"/>
        </w:rPr>
      </w:pPr>
      <w:r w:rsidRPr="0051128E">
        <w:rPr>
          <w:rFonts w:ascii="Times New Roman" w:eastAsia="Times New Roman" w:hAnsi="Times New Roman" w:cs="Times New Roman"/>
          <w:b/>
          <w:kern w:val="36"/>
          <w:sz w:val="28"/>
          <w:szCs w:val="28"/>
          <w:lang w:eastAsia="ru-RU"/>
        </w:rPr>
        <w:t>Требования к приборам учета и их установке</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Прибор учета электроэнергии - средство измерения, используемое для определения объемов (количества) потребления (производства, передачи) электрической энергии потребителями (гарантирующим поставщиком, сетевыми организациями).</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 xml:space="preserve">Приборы учета, показания которых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Постановлению Правительства Российской Федерации от 4 мая 2012 г.  </w:t>
      </w:r>
      <w:proofErr w:type="gramStart"/>
      <w:r w:rsidRPr="0051128E">
        <w:rPr>
          <w:rFonts w:ascii="Times New Roman" w:eastAsia="Times New Roman" w:hAnsi="Times New Roman" w:cs="Times New Roman"/>
          <w:sz w:val="24"/>
          <w:szCs w:val="24"/>
          <w:lang w:eastAsia="ru-RU"/>
        </w:rPr>
        <w:t>№  442</w:t>
      </w:r>
      <w:proofErr w:type="gramEnd"/>
      <w:r w:rsidRPr="0051128E">
        <w:rPr>
          <w:rFonts w:ascii="Times New Roman" w:eastAsia="Times New Roman" w:hAnsi="Times New Roman" w:cs="Times New Roman"/>
          <w:sz w:val="24"/>
          <w:szCs w:val="24"/>
          <w:lang w:eastAsia="ru-RU"/>
        </w:rPr>
        <w:t xml:space="preserve"> «О функционировании розничных рынков электрической энергии, полном и (или) частичном ограничении режима потребления электрической энергии», в том числе по их классу точности, быть допущенными в эксплуатацию в установленном порядке, иметь неповрежденные контрольные пломбы и (или) знаки визуального контроля.</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w:t>
      </w:r>
      <w:proofErr w:type="spellStart"/>
      <w:r w:rsidRPr="0051128E">
        <w:rPr>
          <w:rFonts w:ascii="Times New Roman" w:eastAsia="Times New Roman" w:hAnsi="Times New Roman" w:cs="Times New Roman"/>
          <w:sz w:val="24"/>
          <w:szCs w:val="24"/>
          <w:lang w:eastAsia="ru-RU"/>
        </w:rPr>
        <w:t>кВ</w:t>
      </w:r>
      <w:proofErr w:type="spellEnd"/>
      <w:r w:rsidRPr="0051128E">
        <w:rPr>
          <w:rFonts w:ascii="Times New Roman" w:eastAsia="Times New Roman" w:hAnsi="Times New Roman" w:cs="Times New Roman"/>
          <w:sz w:val="24"/>
          <w:szCs w:val="24"/>
          <w:lang w:eastAsia="ru-RU"/>
        </w:rPr>
        <w:t xml:space="preserve"> и ниже и класса точности 0,5S и выше - для точек присоединения к объектам электросетевого хозяйства напряжением 110 </w:t>
      </w:r>
      <w:proofErr w:type="spellStart"/>
      <w:r w:rsidRPr="0051128E">
        <w:rPr>
          <w:rFonts w:ascii="Times New Roman" w:eastAsia="Times New Roman" w:hAnsi="Times New Roman" w:cs="Times New Roman"/>
          <w:sz w:val="24"/>
          <w:szCs w:val="24"/>
          <w:lang w:eastAsia="ru-RU"/>
        </w:rPr>
        <w:t>кВ</w:t>
      </w:r>
      <w:proofErr w:type="spellEnd"/>
      <w:r w:rsidRPr="0051128E">
        <w:rPr>
          <w:rFonts w:ascii="Times New Roman" w:eastAsia="Times New Roman" w:hAnsi="Times New Roman" w:cs="Times New Roman"/>
          <w:sz w:val="24"/>
          <w:szCs w:val="24"/>
          <w:lang w:eastAsia="ru-RU"/>
        </w:rPr>
        <w:t xml:space="preserve"> и выше.</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120 дней и более или включенные в систему учета.</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Приборы учета подлежат установке на границах балансовой принадлежности объектов электроэнергетики (</w:t>
      </w:r>
      <w:proofErr w:type="spellStart"/>
      <w:r w:rsidRPr="0051128E">
        <w:rPr>
          <w:rFonts w:ascii="Times New Roman" w:eastAsia="Times New Roman" w:hAnsi="Times New Roman" w:cs="Times New Roman"/>
          <w:sz w:val="24"/>
          <w:szCs w:val="24"/>
          <w:lang w:eastAsia="ru-RU"/>
        </w:rPr>
        <w:t>энергопринимающих</w:t>
      </w:r>
      <w:proofErr w:type="spellEnd"/>
      <w:r w:rsidRPr="0051128E">
        <w:rPr>
          <w:rFonts w:ascii="Times New Roman" w:eastAsia="Times New Roman" w:hAnsi="Times New Roman" w:cs="Times New Roman"/>
          <w:sz w:val="24"/>
          <w:szCs w:val="24"/>
          <w:lang w:eastAsia="ru-RU"/>
        </w:rPr>
        <w:t xml:space="preserve">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w:t>
      </w:r>
      <w:r w:rsidRPr="0051128E">
        <w:rPr>
          <w:rFonts w:ascii="Times New Roman" w:eastAsia="Times New Roman" w:hAnsi="Times New Roman" w:cs="Times New Roman"/>
          <w:sz w:val="24"/>
          <w:szCs w:val="24"/>
          <w:lang w:eastAsia="ru-RU"/>
        </w:rPr>
        <w:lastRenderedPageBreak/>
        <w:t>(</w:t>
      </w:r>
      <w:proofErr w:type="spellStart"/>
      <w:r w:rsidRPr="0051128E">
        <w:rPr>
          <w:rFonts w:ascii="Times New Roman" w:eastAsia="Times New Roman" w:hAnsi="Times New Roman" w:cs="Times New Roman"/>
          <w:sz w:val="24"/>
          <w:szCs w:val="24"/>
          <w:lang w:eastAsia="ru-RU"/>
        </w:rPr>
        <w:t>энергопринимающих</w:t>
      </w:r>
      <w:proofErr w:type="spellEnd"/>
      <w:r w:rsidRPr="0051128E">
        <w:rPr>
          <w:rFonts w:ascii="Times New Roman" w:eastAsia="Times New Roman" w:hAnsi="Times New Roman" w:cs="Times New Roman"/>
          <w:sz w:val="24"/>
          <w:szCs w:val="24"/>
          <w:lang w:eastAsia="ru-RU"/>
        </w:rPr>
        <w:t xml:space="preserve">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w:t>
      </w:r>
      <w:proofErr w:type="spellStart"/>
      <w:r w:rsidRPr="0051128E">
        <w:rPr>
          <w:rFonts w:ascii="Times New Roman" w:eastAsia="Times New Roman" w:hAnsi="Times New Roman" w:cs="Times New Roman"/>
          <w:sz w:val="24"/>
          <w:szCs w:val="24"/>
          <w:lang w:eastAsia="ru-RU"/>
        </w:rPr>
        <w:t>энергопринимающих</w:t>
      </w:r>
      <w:proofErr w:type="spellEnd"/>
      <w:r w:rsidRPr="0051128E">
        <w:rPr>
          <w:rFonts w:ascii="Times New Roman" w:eastAsia="Times New Roman" w:hAnsi="Times New Roman" w:cs="Times New Roman"/>
          <w:sz w:val="24"/>
          <w:szCs w:val="24"/>
          <w:lang w:eastAsia="ru-RU"/>
        </w:rPr>
        <w:t xml:space="preserve"> устройств) другого смежного субъекта.</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 xml:space="preserve">Периодическая поверка прибора учета, измерительных трансформаторов должна проводиться по истечении </w:t>
      </w:r>
      <w:proofErr w:type="spellStart"/>
      <w:r w:rsidRPr="0051128E">
        <w:rPr>
          <w:rFonts w:ascii="Times New Roman" w:eastAsia="Times New Roman" w:hAnsi="Times New Roman" w:cs="Times New Roman"/>
          <w:sz w:val="24"/>
          <w:szCs w:val="24"/>
          <w:lang w:eastAsia="ru-RU"/>
        </w:rPr>
        <w:t>межповерочного</w:t>
      </w:r>
      <w:proofErr w:type="spellEnd"/>
      <w:r w:rsidRPr="0051128E">
        <w:rPr>
          <w:rFonts w:ascii="Times New Roman" w:eastAsia="Times New Roman" w:hAnsi="Times New Roman" w:cs="Times New Roman"/>
          <w:sz w:val="24"/>
          <w:szCs w:val="24"/>
          <w:lang w:eastAsia="ru-RU"/>
        </w:rPr>
        <w:t xml:space="preserve">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 xml:space="preserve">Каждый установленный расчетный счетчик должен иметь на винтах, крепящих кожух счетчика, пломбы с клеймом </w:t>
      </w:r>
      <w:proofErr w:type="spellStart"/>
      <w:r w:rsidRPr="0051128E">
        <w:rPr>
          <w:rFonts w:ascii="Times New Roman" w:eastAsia="Times New Roman" w:hAnsi="Times New Roman" w:cs="Times New Roman"/>
          <w:sz w:val="24"/>
          <w:szCs w:val="24"/>
          <w:lang w:eastAsia="ru-RU"/>
        </w:rPr>
        <w:t>госповерителя</w:t>
      </w:r>
      <w:proofErr w:type="spellEnd"/>
      <w:r w:rsidRPr="0051128E">
        <w:rPr>
          <w:rFonts w:ascii="Times New Roman" w:eastAsia="Times New Roman" w:hAnsi="Times New Roman" w:cs="Times New Roman"/>
          <w:sz w:val="24"/>
          <w:szCs w:val="24"/>
          <w:lang w:eastAsia="ru-RU"/>
        </w:rPr>
        <w:t xml:space="preserve">, а на зажимной крышке - пломбу </w:t>
      </w:r>
      <w:proofErr w:type="spellStart"/>
      <w:r w:rsidRPr="0051128E">
        <w:rPr>
          <w:rFonts w:ascii="Times New Roman" w:eastAsia="Times New Roman" w:hAnsi="Times New Roman" w:cs="Times New Roman"/>
          <w:sz w:val="24"/>
          <w:szCs w:val="24"/>
          <w:lang w:eastAsia="ru-RU"/>
        </w:rPr>
        <w:t>энергоснабжающей</w:t>
      </w:r>
      <w:proofErr w:type="spellEnd"/>
      <w:r w:rsidRPr="0051128E">
        <w:rPr>
          <w:rFonts w:ascii="Times New Roman" w:eastAsia="Times New Roman" w:hAnsi="Times New Roman" w:cs="Times New Roman"/>
          <w:sz w:val="24"/>
          <w:szCs w:val="24"/>
          <w:lang w:eastAsia="ru-RU"/>
        </w:rPr>
        <w:t xml:space="preserve"> организации.</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На вновь устанавливаемых трехфазных счетчиках должны быть пломбы государственной поверки с давностью не более 12 мес., а на однофазных счетчиках - с давностью не более 2 лет</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Счетчики должны устанавливаться в шкафах, камерах, комплектных распределительных устройствах, на панелях, щитах, в нишах, на стенах, имеющих жесткую конструкцию.</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Допускается крепление счетчиков на деревянных, пластмассовых или металлических щитках.</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Высота от пола до коробки зажимов счетчиков должна быть в пределах 0,8 - 1,7 м. Допускается высота менее 0,8 м, но не менее 0,4 м.</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Должна быть обеспечена возможность удобной замены счетчика и установки его с уклоном не более 1 град. Конструкция его крепления должна обеспечивать возможность установки и съема счетчика с лицевой стороны.</w:t>
      </w:r>
    </w:p>
    <w:p w:rsidR="0051128E" w:rsidRPr="0051128E" w:rsidRDefault="0051128E" w:rsidP="0051128E">
      <w:pPr>
        <w:shd w:val="clear" w:color="auto" w:fill="FFFFFF"/>
        <w:spacing w:before="225" w:after="225" w:line="240" w:lineRule="auto"/>
        <w:ind w:firstLine="567"/>
        <w:jc w:val="both"/>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 xml:space="preserve">Для безопасной установки и замены счетчиков в сетях напряжением до 380 </w:t>
      </w:r>
      <w:proofErr w:type="gramStart"/>
      <w:r w:rsidRPr="0051128E">
        <w:rPr>
          <w:rFonts w:ascii="Times New Roman" w:eastAsia="Times New Roman" w:hAnsi="Times New Roman" w:cs="Times New Roman"/>
          <w:sz w:val="24"/>
          <w:szCs w:val="24"/>
          <w:lang w:eastAsia="ru-RU"/>
        </w:rPr>
        <w:t>В</w:t>
      </w:r>
      <w:proofErr w:type="gramEnd"/>
      <w:r w:rsidRPr="0051128E">
        <w:rPr>
          <w:rFonts w:ascii="Times New Roman" w:eastAsia="Times New Roman" w:hAnsi="Times New Roman" w:cs="Times New Roman"/>
          <w:sz w:val="24"/>
          <w:szCs w:val="24"/>
          <w:lang w:eastAsia="ru-RU"/>
        </w:rPr>
        <w:t xml:space="preserve">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счетчику.</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b/>
          <w:bCs/>
          <w:sz w:val="24"/>
          <w:szCs w:val="24"/>
          <w:lang w:eastAsia="ru-RU"/>
        </w:rPr>
        <w:t>Основные метрологические характеристики электросчетчиков**</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b/>
          <w:bCs/>
          <w:sz w:val="24"/>
          <w:szCs w:val="24"/>
          <w:u w:val="single"/>
          <w:lang w:eastAsia="ru-RU"/>
        </w:rPr>
        <w:t>Однофазные:</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Номинальное напряжение – 230 В</w:t>
      </w:r>
    </w:p>
    <w:p w:rsid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Номинальный ток – 5(60) или 10(100) А</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b/>
          <w:bCs/>
          <w:sz w:val="24"/>
          <w:szCs w:val="24"/>
          <w:u w:val="single"/>
          <w:lang w:eastAsia="ru-RU"/>
        </w:rPr>
        <w:lastRenderedPageBreak/>
        <w:t>Трехфазные прямого включения:</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Номинальное напряжение – 3х230/400 В</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Номинальный ток – 5(60) или 10(100) А</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b/>
          <w:bCs/>
          <w:sz w:val="24"/>
          <w:szCs w:val="24"/>
          <w:u w:val="single"/>
          <w:lang w:eastAsia="ru-RU"/>
        </w:rPr>
        <w:t>Трехфазные трансформаторного включения:</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Номинальное напряжение – 3х57,7/100 или 3х230/400 В</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Номинальный ток – 5(7,5) или 5(10) А</w:t>
      </w: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p>
    <w:p w:rsidR="0051128E" w:rsidRPr="0051128E" w:rsidRDefault="0051128E" w:rsidP="0051128E">
      <w:pPr>
        <w:shd w:val="clear" w:color="auto" w:fill="FFFFFF"/>
        <w:spacing w:before="225" w:after="225" w:line="240" w:lineRule="auto"/>
        <w:rPr>
          <w:rFonts w:ascii="Times New Roman" w:eastAsia="Times New Roman" w:hAnsi="Times New Roman" w:cs="Times New Roman"/>
          <w:sz w:val="24"/>
          <w:szCs w:val="24"/>
          <w:lang w:eastAsia="ru-RU"/>
        </w:rPr>
      </w:pPr>
      <w:r w:rsidRPr="0051128E">
        <w:rPr>
          <w:rFonts w:ascii="Times New Roman" w:eastAsia="Times New Roman" w:hAnsi="Times New Roman" w:cs="Times New Roman"/>
          <w:sz w:val="24"/>
          <w:szCs w:val="24"/>
          <w:lang w:eastAsia="ru-RU"/>
        </w:rPr>
        <w:t>* - приведенные выше метрологические характеристики электросчетчиков могут отличаться в зависимости от модели и завода-изготовителя.</w:t>
      </w:r>
    </w:p>
    <w:p w:rsidR="004233E3" w:rsidRPr="0051128E" w:rsidRDefault="004233E3">
      <w:pPr>
        <w:rPr>
          <w:rFonts w:ascii="Times New Roman" w:hAnsi="Times New Roman" w:cs="Times New Roman"/>
          <w:sz w:val="24"/>
          <w:szCs w:val="24"/>
        </w:rPr>
      </w:pPr>
      <w:bookmarkStart w:id="0" w:name="_GoBack"/>
      <w:bookmarkEnd w:id="0"/>
    </w:p>
    <w:sectPr w:rsidR="004233E3" w:rsidRPr="00511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8E"/>
    <w:rsid w:val="004233E3"/>
    <w:rsid w:val="00511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3D2F"/>
  <w15:chartTrackingRefBased/>
  <w15:docId w15:val="{2BEFCABB-9BF8-4F1B-B8F9-9D7748BE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112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2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112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86819">
      <w:bodyDiv w:val="1"/>
      <w:marLeft w:val="0"/>
      <w:marRight w:val="0"/>
      <w:marTop w:val="0"/>
      <w:marBottom w:val="0"/>
      <w:divBdr>
        <w:top w:val="none" w:sz="0" w:space="0" w:color="auto"/>
        <w:left w:val="none" w:sz="0" w:space="0" w:color="auto"/>
        <w:bottom w:val="none" w:sz="0" w:space="0" w:color="auto"/>
        <w:right w:val="none" w:sz="0" w:space="0" w:color="auto"/>
      </w:divBdr>
      <w:divsChild>
        <w:div w:id="136081227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933</Words>
  <Characters>5320</Characters>
  <Application>Microsoft Office Word</Application>
  <DocSecurity>0</DocSecurity>
  <Lines>44</Lines>
  <Paragraphs>12</Paragraphs>
  <ScaleCrop>false</ScaleCrop>
  <Company>SPecialiST RePack</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2021-04-09T10:31:00Z</dcterms:created>
  <dcterms:modified xsi:type="dcterms:W3CDTF">2021-04-09T10:34:00Z</dcterms:modified>
</cp:coreProperties>
</file>